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F11731" w14:textId="152A129D" w:rsidR="001B44F7" w:rsidRPr="001B44F7" w:rsidRDefault="001B44F7" w:rsidP="00F8069F">
      <w:pPr>
        <w:pStyle w:val="Body1"/>
        <w:ind w:right="54"/>
        <w:jc w:val="both"/>
        <w:rPr>
          <w:rFonts w:ascii="Arial" w:hAnsi="Arial" w:cs="Arial"/>
          <w:b/>
          <w:color w:val="auto"/>
          <w:sz w:val="17"/>
          <w:szCs w:val="17"/>
          <w:highlight w:val="yellow"/>
        </w:rPr>
      </w:pPr>
      <w:r w:rsidRPr="00C44E90">
        <w:rPr>
          <w:rFonts w:ascii="Arial" w:hAnsi="Arial" w:cs="Arial"/>
          <w:b/>
          <w:color w:val="auto"/>
          <w:sz w:val="17"/>
          <w:szCs w:val="17"/>
        </w:rPr>
        <w:t xml:space="preserve">MINUTA EM APRECIAÇÃO DOS CONSELHEIROS PARA APROVAÇÃO </w:t>
      </w:r>
      <w:r w:rsidRPr="001B44F7">
        <w:rPr>
          <w:rFonts w:ascii="Arial" w:hAnsi="Arial" w:cs="Arial"/>
          <w:b/>
          <w:color w:val="auto"/>
          <w:sz w:val="17"/>
          <w:szCs w:val="17"/>
          <w:highlight w:val="yellow"/>
        </w:rPr>
        <w:t>NA REUNIÃO ORDINÁRIA DE MARÇO DE 2020.</w:t>
      </w:r>
    </w:p>
    <w:p w14:paraId="1B1F270E" w14:textId="0F9CFE01" w:rsidR="001B44F7" w:rsidRDefault="00C44E90" w:rsidP="00F8069F">
      <w:pPr>
        <w:pStyle w:val="Body1"/>
        <w:ind w:right="54"/>
        <w:jc w:val="both"/>
        <w:rPr>
          <w:rFonts w:ascii="Arial" w:hAnsi="Arial" w:cs="Arial"/>
          <w:b/>
          <w:color w:val="auto"/>
          <w:sz w:val="17"/>
          <w:szCs w:val="17"/>
        </w:rPr>
      </w:pPr>
      <w:r w:rsidRPr="00C44E90">
        <w:rPr>
          <w:rFonts w:ascii="Arial" w:hAnsi="Arial" w:cs="Arial"/>
          <w:b/>
          <w:color w:val="auto"/>
          <w:sz w:val="17"/>
          <w:szCs w:val="17"/>
        </w:rPr>
        <w:t>SUJEITA A</w:t>
      </w:r>
      <w:r w:rsidR="001B44F7" w:rsidRPr="00C44E90">
        <w:rPr>
          <w:rFonts w:ascii="Arial" w:hAnsi="Arial" w:cs="Arial"/>
          <w:b/>
          <w:color w:val="auto"/>
          <w:sz w:val="17"/>
          <w:szCs w:val="17"/>
        </w:rPr>
        <w:t xml:space="preserve"> ALTERAÇÕES.</w:t>
      </w:r>
    </w:p>
    <w:p w14:paraId="3E13ACEF" w14:textId="77777777" w:rsidR="001B44F7" w:rsidRDefault="001B44F7" w:rsidP="00F8069F">
      <w:pPr>
        <w:pStyle w:val="Body1"/>
        <w:ind w:right="54"/>
        <w:jc w:val="both"/>
        <w:rPr>
          <w:rFonts w:ascii="Arial" w:hAnsi="Arial" w:cs="Arial"/>
          <w:b/>
          <w:color w:val="auto"/>
          <w:sz w:val="17"/>
          <w:szCs w:val="17"/>
        </w:rPr>
      </w:pPr>
      <w:bookmarkStart w:id="0" w:name="_GoBack"/>
      <w:bookmarkEnd w:id="0"/>
    </w:p>
    <w:p w14:paraId="2C87B0CC" w14:textId="3DA291D4" w:rsidR="007E6444" w:rsidRPr="00F6226A" w:rsidRDefault="001F3201" w:rsidP="00F8069F">
      <w:pPr>
        <w:pStyle w:val="Body1"/>
        <w:ind w:right="54"/>
        <w:jc w:val="both"/>
        <w:rPr>
          <w:color w:val="auto"/>
          <w:sz w:val="17"/>
          <w:szCs w:val="17"/>
        </w:rPr>
      </w:pPr>
      <w:r w:rsidRPr="00F6226A">
        <w:rPr>
          <w:rFonts w:ascii="Arial" w:hAnsi="Arial" w:cs="Arial"/>
          <w:b/>
          <w:color w:val="auto"/>
          <w:sz w:val="17"/>
          <w:szCs w:val="17"/>
        </w:rPr>
        <w:t>ATA Nº 5</w:t>
      </w:r>
      <w:r w:rsidR="001E1B87" w:rsidRPr="00F6226A">
        <w:rPr>
          <w:rFonts w:ascii="Arial" w:hAnsi="Arial" w:cs="Arial"/>
          <w:b/>
          <w:color w:val="auto"/>
          <w:sz w:val="17"/>
          <w:szCs w:val="17"/>
        </w:rPr>
        <w:t>42</w:t>
      </w:r>
      <w:r w:rsidR="000C0756" w:rsidRPr="00F6226A">
        <w:rPr>
          <w:rFonts w:ascii="Arial" w:hAnsi="Arial" w:cs="Arial"/>
          <w:b/>
          <w:color w:val="auto"/>
          <w:sz w:val="17"/>
          <w:szCs w:val="17"/>
        </w:rPr>
        <w:t>/</w:t>
      </w:r>
      <w:r w:rsidR="007E6444" w:rsidRPr="00F6226A">
        <w:rPr>
          <w:rFonts w:ascii="Arial" w:hAnsi="Arial" w:cs="Arial"/>
          <w:b/>
          <w:color w:val="auto"/>
          <w:sz w:val="17"/>
          <w:szCs w:val="17"/>
        </w:rPr>
        <w:t xml:space="preserve">2019 - REUNIÃO </w:t>
      </w:r>
      <w:r w:rsidR="001E1B87" w:rsidRPr="00F6226A">
        <w:rPr>
          <w:rFonts w:ascii="Arial" w:hAnsi="Arial" w:cs="Arial"/>
          <w:b/>
          <w:color w:val="auto"/>
          <w:sz w:val="17"/>
          <w:szCs w:val="17"/>
        </w:rPr>
        <w:t>EXTRA</w:t>
      </w:r>
      <w:r w:rsidR="007E6444" w:rsidRPr="00F6226A">
        <w:rPr>
          <w:rFonts w:ascii="Arial" w:hAnsi="Arial" w:cs="Arial"/>
          <w:b/>
          <w:color w:val="auto"/>
          <w:sz w:val="17"/>
          <w:szCs w:val="17"/>
        </w:rPr>
        <w:t>ORDINÁRIA DO CONSELHO DELIBERANTE DA FUNDAÇÃO EDUCACIONAL JOÃO XXIII</w:t>
      </w:r>
    </w:p>
    <w:p w14:paraId="672A6659" w14:textId="77777777" w:rsidR="007E6444" w:rsidRPr="00F6226A" w:rsidRDefault="007E6444" w:rsidP="00F8069F">
      <w:pPr>
        <w:jc w:val="both"/>
        <w:rPr>
          <w:rFonts w:ascii="Arial" w:hAnsi="Arial" w:cs="Arial"/>
          <w:b/>
          <w:sz w:val="19"/>
          <w:szCs w:val="19"/>
        </w:rPr>
      </w:pPr>
    </w:p>
    <w:p w14:paraId="5E1EF0FF" w14:textId="718E7189" w:rsidR="00A52265" w:rsidRPr="00F6226A" w:rsidRDefault="2F8ED8D3" w:rsidP="2F8ED8D3">
      <w:pPr>
        <w:autoSpaceDE w:val="0"/>
        <w:ind w:right="-12"/>
        <w:jc w:val="both"/>
        <w:rPr>
          <w:rFonts w:ascii="Tahoma" w:hAnsi="Tahoma" w:cs="Tahoma"/>
          <w:sz w:val="20"/>
          <w:szCs w:val="20"/>
        </w:rPr>
      </w:pPr>
      <w:r w:rsidRPr="2F8ED8D3">
        <w:rPr>
          <w:rFonts w:ascii="Tahoma" w:hAnsi="Tahoma" w:cs="Tahoma"/>
          <w:sz w:val="20"/>
          <w:szCs w:val="20"/>
        </w:rPr>
        <w:t xml:space="preserve">Aos dez dias do mês de dezembro de dois mil e dezenove, às 19h30min, na sala 305 do Colégio João XXIII, situado na Rua Sepé Tiarajú, 1013, na cidade de Porto Alegre (RS), reuniram-se 27 (vinte e sete) membros do Conselho Deliberante da Fundação Educacional João XXIII, 1 (uma) mãe de aluna e Coordenadora do Comitê de Governança, Aline Carraro Portanova – Presidente da Fundação, Cristina Toniolo Pozzobon – Diretora de Comunicação, Denilson  Gonçalves de Oliveira – Diretor Financeiro, Rosane Dias Rodriguez – Vice-Diretora, Adriana Pandolfo Goytacaz – Gerente Administrativo-Financeira e Rosângela Arndt Gomes Dresch – Secretária da Fundação. A Presidente da Fundação, Aline Carraro Portanova, deu início à assembleia com a pauta única </w:t>
      </w:r>
      <w:r w:rsidRPr="2F8ED8D3">
        <w:rPr>
          <w:rFonts w:ascii="Tahoma" w:hAnsi="Tahoma" w:cs="Tahoma"/>
          <w:b/>
          <w:bCs/>
          <w:sz w:val="20"/>
          <w:szCs w:val="20"/>
        </w:rPr>
        <w:t xml:space="preserve">FILANTROPIA para decidir sobre o percentual de recolhimento para o ano de 2020 e sobre o repasse para o Fundo de Sustentabilidade.  </w:t>
      </w:r>
      <w:r w:rsidRPr="2F8ED8D3">
        <w:rPr>
          <w:rFonts w:ascii="Tahoma" w:hAnsi="Tahoma" w:cs="Tahoma"/>
          <w:sz w:val="20"/>
          <w:szCs w:val="20"/>
          <w:u w:val="single"/>
        </w:rPr>
        <w:t>DELIBERAÇÕES DA REUNIÃO</w:t>
      </w:r>
      <w:r w:rsidRPr="2F8ED8D3">
        <w:rPr>
          <w:rFonts w:ascii="Tahoma" w:hAnsi="Tahoma" w:cs="Tahoma"/>
          <w:sz w:val="20"/>
          <w:szCs w:val="20"/>
        </w:rPr>
        <w:t xml:space="preserve">: iniciou agradecendo a todos os presentes e esclarecendo que para alteração das </w:t>
      </w:r>
      <w:r w:rsidRPr="2F8ED8D3">
        <w:rPr>
          <w:rFonts w:ascii="Tahoma" w:hAnsi="Tahoma" w:cs="Tahoma"/>
          <w:i/>
          <w:iCs/>
          <w:sz w:val="20"/>
          <w:szCs w:val="20"/>
        </w:rPr>
        <w:t>Regras do Fundo para Provisão de Recurso Financeiro no caso de perda ou desistência voluntária da condição de Entidade Filantrópica</w:t>
      </w:r>
      <w:r w:rsidRPr="2F8ED8D3">
        <w:rPr>
          <w:rFonts w:ascii="Tahoma" w:hAnsi="Tahoma" w:cs="Tahoma"/>
          <w:sz w:val="20"/>
          <w:szCs w:val="20"/>
        </w:rPr>
        <w:t xml:space="preserve"> é necessária a aprovação da maioria absoluta do Conselho Deliberante (metade mais um), conforme estabelecido por este Conselho em dezembro de 2014. Após, a Diretora de Comunicação, Cristina Toniolo Pozzobon, que na época da criação do Fundo de Sustentabilidade ocupava o cargo de Presidente da Fundação, salientou que na reunião passada alguns Conselheiros novos não acompanharam a criação do Fundo de Sustentabilidade e nem tinham o conhecimento do propósito pelo qual foi constituído e nem de como se dá a sua utilização. Em função disso, a Diretoria Executiva está trazendo, em linhas gerais, o histórico da Filantropia na instituição, salientando que as práticas de ações sociais e educacionais estão presentes desde o surgimento da Fundação. Ratificou que a Filantropia está no rol de objetivos da Fundação (Estatuto Social, art. 4º); que a partir 1997, a instituição obteve o Certificado de Entidade de Assistência Social (CEAS) emitido pelo CNAS – Conselho Nacional de Assistência Social que conferia o selo de Entidade Filantrópica e que em contrapartida passou a contar com o benefício da isenção da cota patronal sobre a folha de pagamento. Comentou que a partir da publicação da Lei nº 12.101, de 27 de novembro de 2009, a certificação e renovação das entidades filantrópicas deixaram de ser centralizadas no CNAS e foram redistribuídas aos Ministérios específicos, de acordo com suas áreas de atuação: Saúde, Educação e Assistência Social. Na área da Educação, sob a competência do Ministério da Educação, a certificação passou a se chamar de Certificado de Entidades Beneficentes de Assistência Social (CEBAS). Dentro do atual cenário das políticas de Educação, a concessão do CEBAS é uma ação que contribui de maneira efetiva para o processo de inclusão social no país, por meio da garantia de oferta de bolsas de estudo, integrais ou parciais, constituindo-se em uma política pública de acesso à Educação Básica e Superior. Informou que houve um período de muitas mudanças na legislação da Filantropia, inclusive destacou que foi criada por este Conselho Deliberante, na Reunião Ordinária do dia 30/06/2015 a Comissão Permanente de Filantropia, com o objetivo de dar a continuidade e de fazer o acompanhamento dos trabalhos para manutenção da Filantropia da Fundação, na forma da Lei nº. 12.101/2009. A seguir, demonstrou os critérios da composição para a isenção da cota patronal na educação básica até 2015: 20% (vinte por cento) da receita anual efetivamente recebida mais a concessão de 1 (uma) bolsa de estudo integral para cada 9 (nove) alunos pagantes, mais o apoio à Creche Boa Esperança, o Projeto Secom - Serviço Comunitário (cursos profissionalizantes de corte e costura, pintura em tecido e madeira, entre outros), o Projeto Inclusão Digital (capacitou  de adolescentes e adultos e recebeu Selo Escola Solidária) e o Projeto Cetrein - Centro de Capacitação Profissional Contínua em Educação (capacitou gratuitamente Educadores Assistentes da Educação Infantil). Em contrapartida era concedida a isenção da cota patronal do INSS no valor aproximado de R$ 2.200.000,00/ano. A partir de 2016, o critério da concessão passou a ser de 1 (uma) bolsa de estudo integral para cada 5 (cinco) alunos </w:t>
      </w:r>
      <w:r w:rsidRPr="00C44E90">
        <w:rPr>
          <w:rFonts w:ascii="Tahoma" w:hAnsi="Tahoma" w:cs="Tahoma"/>
          <w:sz w:val="20"/>
          <w:szCs w:val="20"/>
        </w:rPr>
        <w:t>pagantes e, em contrapartida, a isenção</w:t>
      </w:r>
      <w:r w:rsidRPr="2F8ED8D3">
        <w:rPr>
          <w:rFonts w:ascii="Tahoma" w:hAnsi="Tahoma" w:cs="Tahoma"/>
          <w:sz w:val="20"/>
          <w:szCs w:val="20"/>
        </w:rPr>
        <w:t xml:space="preserve"> da cota patronal do INSS no valor aproximado de R$ 2.600.000,00/ano. Para conhecimento dos presentes, relembrou que em 2014, foram necessárias cinco reuniões de Conselho Deliberante para que o grupo tomasse ciência do impacto da alteração da Lei 12.101/09 da Filantropia para a instituição e para que discutisse e se preparasse para tomar a decisão sobre o futuro da Filantropia, bem como traçasse os rumos da escola. Destacou que as premissas apontadas pela Diretoria Executiva ao Conselho Deliberante para a criação do Fundo de Sustentabilidade foram as alterações na legislação atinente a Filantropia, que modificariam os percentuais e forma de cálculo das contrapartidas pela Escola; os riscos que novas alterações na legislação ou na interpretação da legislação vigente pudessem gerar perda, total ou parcial, da condição de Filantropia; a preservação da sustentabilidade financeira da Fundação no caso de uma eventual inviabilidade de manutenção da Filantropia ou perda da condição de Filantrópica; a necessidade de orientar os membros das futuras gestões da Diretoria Executiva e do Conselho Deliberante da Fundação quanto aos motivos, objetivos e propósitos do Fundo</w:t>
      </w:r>
      <w:r w:rsidR="00C44E90">
        <w:rPr>
          <w:rFonts w:ascii="Tahoma" w:hAnsi="Tahoma" w:cs="Tahoma"/>
          <w:sz w:val="20"/>
          <w:szCs w:val="20"/>
        </w:rPr>
        <w:t xml:space="preserve"> </w:t>
      </w:r>
      <w:r w:rsidRPr="2F8ED8D3">
        <w:rPr>
          <w:rFonts w:ascii="Tahoma" w:hAnsi="Tahoma" w:cs="Tahoma"/>
          <w:sz w:val="20"/>
          <w:szCs w:val="20"/>
        </w:rPr>
        <w:t xml:space="preserve">de Sustentabilidade e, por fim, fazer frente aos pagamentos da cota patronal do INSS, caso a Fundação viesse perder a condição de Filantrópica antes de 2021, se não conseguisse cumprir o critério definido por lei. Esclareceu que na Reunião Ordinária nº 475/2014, de 28/10/2014, a deliberação do Conselho foi de criar o </w:t>
      </w:r>
      <w:r w:rsidRPr="2F8ED8D3">
        <w:rPr>
          <w:rFonts w:ascii="Tahoma" w:hAnsi="Tahoma" w:cs="Tahoma"/>
          <w:b/>
          <w:bCs/>
          <w:sz w:val="20"/>
          <w:szCs w:val="20"/>
        </w:rPr>
        <w:t xml:space="preserve">Fundo para Sustentabilidade Financeira da </w:t>
      </w:r>
      <w:r w:rsidRPr="00C44E90">
        <w:rPr>
          <w:rFonts w:ascii="Tahoma" w:hAnsi="Tahoma" w:cs="Tahoma"/>
          <w:b/>
          <w:bCs/>
          <w:sz w:val="20"/>
          <w:szCs w:val="20"/>
        </w:rPr>
        <w:t>Fundação</w:t>
      </w:r>
      <w:r w:rsidRPr="00C44E90">
        <w:rPr>
          <w:rFonts w:ascii="Tahoma" w:hAnsi="Tahoma" w:cs="Tahoma"/>
          <w:sz w:val="20"/>
          <w:szCs w:val="20"/>
        </w:rPr>
        <w:t xml:space="preserve"> e, na</w:t>
      </w:r>
      <w:r w:rsidRPr="2F8ED8D3">
        <w:rPr>
          <w:rFonts w:ascii="Tahoma" w:hAnsi="Tahoma" w:cs="Tahoma"/>
          <w:sz w:val="20"/>
          <w:szCs w:val="20"/>
        </w:rPr>
        <w:t xml:space="preserve"> Reunião Ordinária nº 477/2014, de 09/12/2014, foram deliberadas as</w:t>
      </w:r>
      <w:r w:rsidRPr="2F8ED8D3">
        <w:rPr>
          <w:rFonts w:ascii="Tahoma" w:hAnsi="Tahoma" w:cs="Tahoma"/>
          <w:b/>
          <w:bCs/>
          <w:sz w:val="20"/>
          <w:szCs w:val="20"/>
        </w:rPr>
        <w:t xml:space="preserve"> Regras do Fundo de Sustentabilidade </w:t>
      </w:r>
      <w:r w:rsidRPr="2F8ED8D3">
        <w:rPr>
          <w:rFonts w:ascii="Tahoma" w:hAnsi="Tahoma" w:cs="Tahoma"/>
          <w:sz w:val="20"/>
          <w:szCs w:val="20"/>
        </w:rPr>
        <w:t xml:space="preserve">para provisão de recurso financeiro no caso de perda ou </w:t>
      </w:r>
      <w:r w:rsidRPr="2F8ED8D3">
        <w:rPr>
          <w:rFonts w:ascii="Tahoma" w:hAnsi="Tahoma" w:cs="Tahoma"/>
          <w:sz w:val="20"/>
          <w:szCs w:val="20"/>
        </w:rPr>
        <w:lastRenderedPageBreak/>
        <w:t xml:space="preserve">desistência voluntária da condição de entidade filantrópica. Salientou que a composição do Fundo consistia na definição do índice de reajuste das mensalidades no orçamento de 2015, com base na projeção do dissídio na categoria, mais o reajuste real para os professores já aprovado pelo Conselho e pela Fundação, devendo ser destinado ao Fundo o valor resultante da diferença entre o aumento efetivamente concedido e a projeção anterior do dissídio. Determinava, ainda, que em 2015 seriam definidos os percentuais para atingir os 8% de aumento real proposto, em até 4 anos, e que em 2020 o Conselho deveria definir sobre a continuidade da cobrança. A quantia provisionada deveria ser depositada em aplicação financeira e somente poderia ser utilizada para destino diverso por decisão de maioria absoluta (metade mais um) do Conselho Deliberante. Salvo utilização para cobertura dos valores relativos à perda da condição de entidade Filantrópica, 50% do saldo deste fundo deveria ser mantido como Fundo de Reserva, que poderia ser utilizado mediante autorização do Conselho Deliberante, para Projetos Sociais, desde que estabelecida a forma de sua restituição ao Fundo. Em 2020, quando da análise pela Fundação da continuidade de seu programa de bolsas para não pagamento da cota patronal, também se decidiria sobre a continuidade do provisionamento e, consequentemente, seu destino. O Diretor Financeiro apresentou o detalhamento dos índices percentuais anuais para provisão de recurso financeiro no caso de perda ou desistência voluntária da condição de entidade filantrópica para composição do Fundo de Sustentabilidade e do reajuste das mensalidades aprovados pelo Conselho, realizados em 2015=&gt; 1,5% (11,0% + 1,5% = 12,5%); em 2016=&gt; 2,0% (12,5% + 2,0% = 14,5%); em 2017=&gt; 2,0% (8,5% + 2,0% = 10,5%); em 2018=&gt; 0% (4,0% + 0% = 4,0%) e em 2019=&gt; 1,0% (7,5% + 1,0% = 8,5%), totalizando um acumulado para o Fundo de Sustentabilidade de 6,5% até 2019. Apresentou o extrato da conta do Banco do Brasil, aplicação de CDB, com o saldo atualizado em 30/11/2019, no valor de R$ 3.047.991,50, bem como o acompanhamento mensal dos créditos e rendimentos da aplicação de janeiro a novembro de 2019. Destacou que em 2020 o índice deveria ser o percentual restante para atingir os 8% de aumento real proposto na sua composição, prevista na criação do Fundo de Sustentabilidade na reunião de outubro de 2014. Entretanto, a Diretoria Executiva apresentou para apreciação do Conselho Deliberante a seguinte </w:t>
      </w:r>
      <w:r w:rsidRPr="2F8ED8D3">
        <w:rPr>
          <w:rFonts w:ascii="Tahoma" w:hAnsi="Tahoma" w:cs="Tahoma"/>
          <w:i/>
          <w:iCs/>
          <w:sz w:val="20"/>
          <w:szCs w:val="20"/>
        </w:rPr>
        <w:t xml:space="preserve">PROPOSTA: para 2020 o percentual de aumento seja 0%, ou </w:t>
      </w:r>
      <w:r w:rsidRPr="00C44E90">
        <w:rPr>
          <w:rFonts w:ascii="Tahoma" w:hAnsi="Tahoma" w:cs="Tahoma"/>
          <w:i/>
          <w:iCs/>
          <w:sz w:val="20"/>
          <w:szCs w:val="20"/>
        </w:rPr>
        <w:t>seja, sem acréscimo  no percentual destinado ao fundo, nas mensalidades e sem recolhimento do percentual acumulado para o Fundo de Sustentabilidade e que a discussão seja retomada em reunião extraordinária, no mês de novembro/2020, antes da aprovação do Orçamento para 2021, especificamente convocada para tratar da definição de percentual</w:t>
      </w:r>
      <w:r w:rsidRPr="2F8ED8D3">
        <w:rPr>
          <w:rFonts w:ascii="Tahoma" w:hAnsi="Tahoma" w:cs="Tahoma"/>
          <w:i/>
          <w:iCs/>
          <w:sz w:val="20"/>
          <w:szCs w:val="20"/>
        </w:rPr>
        <w:t xml:space="preserve"> do reajuste e do recolhimento do acumulado para o Fundo de Sustentabilidade para 2021.</w:t>
      </w:r>
      <w:r w:rsidRPr="2F8ED8D3">
        <w:rPr>
          <w:rFonts w:ascii="Tahoma" w:hAnsi="Tahoma" w:cs="Tahoma"/>
          <w:sz w:val="20"/>
          <w:szCs w:val="20"/>
        </w:rPr>
        <w:t xml:space="preserve"> A Presidente encaminhou a proposta da Diretoria Executiva à votação do Conselho Deliberante. Antes de iniciar a votação, foi informado que, nesta data, o Conselho Deliberante possui 47 (quarenta e sete) Conselheiros com mandato vigente e aptos a votar. Estavam presentes 27 (vinte e sete) Conselheiros, sendo que 1 (um) Conselheiro Suplente não teve direito a voto por acompanhar seu Titular, Jorge Hugo Souza Gomes, restando 26 (vinte e seis) Conselheiros aptos para votar, destes 24 (vinte e quatro) Conselheiros votaram a favor da proposta, 2 (dois) Conselheiros se abstiveram de </w:t>
      </w:r>
      <w:r w:rsidR="00C44E90" w:rsidRPr="2F8ED8D3">
        <w:rPr>
          <w:rFonts w:ascii="Tahoma" w:hAnsi="Tahoma" w:cs="Tahoma"/>
          <w:sz w:val="20"/>
          <w:szCs w:val="20"/>
        </w:rPr>
        <w:t>votar</w:t>
      </w:r>
      <w:r w:rsidR="00C44E90">
        <w:rPr>
          <w:rFonts w:ascii="Tahoma" w:hAnsi="Tahoma" w:cs="Tahoma"/>
          <w:sz w:val="20"/>
          <w:szCs w:val="20"/>
        </w:rPr>
        <w:t xml:space="preserve">, </w:t>
      </w:r>
      <w:r w:rsidR="00C44E90" w:rsidRPr="2F8ED8D3">
        <w:rPr>
          <w:rFonts w:ascii="Tahoma" w:hAnsi="Tahoma" w:cs="Tahoma"/>
          <w:sz w:val="20"/>
          <w:szCs w:val="20"/>
        </w:rPr>
        <w:t>Francisco</w:t>
      </w:r>
      <w:r w:rsidRPr="2F8ED8D3">
        <w:rPr>
          <w:rFonts w:ascii="Tahoma" w:hAnsi="Tahoma" w:cs="Tahoma"/>
          <w:sz w:val="20"/>
          <w:szCs w:val="20"/>
        </w:rPr>
        <w:t xml:space="preserve"> de Paula Bastos de Freitas e Regis Alberto Weber, e não houve voto contrário à proposta. A proposta da Diretoria Executiva foi deliberada e aprovada pelo Conselho Deliberante pela maioria absoluta, considerando os 24 (vinte e quatro) votos do total de Conselheiros com mandato vigente e aptos a votar, com a ressalva de que esta aprovação ratifica a deliberação do Conselho, na Reunião Ordinária nº 541/2019, de 26/11/2019, que aprovou o aumento escalonado das mensalidades por ano/séries, com reajustes na CBB (5,25%); no Maternal e nos Níveis EI (3,85%); do 1º ao 4º ano EF (5,25%); do 5º ao 9º ano EF (1,95%) e da 1ª a 3ª série EM (3,85%), sem acrescentar índice percentual do fundo e sem repassar os percentuais acumulados dos anos anteriores para o Fundo de Sustentabilidade, deixando esse valor disponível no caixa da Fundação. Nada mais havendo a tratar, a Presidente, Aline Carraro Portanova, agradeceu o empenho e a colaboração de todos os presentes e encerrou a reunião.</w:t>
      </w:r>
    </w:p>
    <w:p w14:paraId="6A05A809" w14:textId="5B70341A" w:rsidR="007E6444" w:rsidRPr="00F6226A" w:rsidRDefault="007E6444" w:rsidP="00F8069F">
      <w:pPr>
        <w:ind w:left="142" w:right="-284"/>
        <w:jc w:val="both"/>
        <w:rPr>
          <w:rFonts w:ascii="Tahoma" w:hAnsi="Tahoma" w:cs="Tahoma"/>
          <w:sz w:val="20"/>
          <w:szCs w:val="20"/>
        </w:rPr>
      </w:pPr>
    </w:p>
    <w:p w14:paraId="728DA86C" w14:textId="77777777" w:rsidR="00D85235" w:rsidRPr="00F6226A" w:rsidRDefault="00D85235" w:rsidP="00F8069F">
      <w:pPr>
        <w:ind w:left="142" w:right="-284"/>
        <w:jc w:val="both"/>
        <w:rPr>
          <w:rFonts w:ascii="Tahoma" w:hAnsi="Tahoma" w:cs="Tahoma"/>
          <w:sz w:val="20"/>
          <w:szCs w:val="20"/>
        </w:rPr>
      </w:pPr>
    </w:p>
    <w:p w14:paraId="263BE933" w14:textId="77777777" w:rsidR="007E6444" w:rsidRPr="00F6226A" w:rsidRDefault="007E6444" w:rsidP="00F8069F">
      <w:pPr>
        <w:pStyle w:val="Body1"/>
        <w:ind w:right="-284"/>
        <w:jc w:val="both"/>
        <w:rPr>
          <w:rFonts w:ascii="Tahoma" w:hAnsi="Tahoma" w:cs="Tahoma"/>
          <w:color w:val="auto"/>
          <w:sz w:val="20"/>
        </w:rPr>
      </w:pPr>
      <w:r w:rsidRPr="00F6226A">
        <w:rPr>
          <w:rFonts w:ascii="Tahoma" w:hAnsi="Tahoma" w:cs="Tahoma"/>
          <w:b/>
          <w:color w:val="auto"/>
          <w:sz w:val="20"/>
        </w:rPr>
        <w:t xml:space="preserve">Aline Carraro Portanova                                            </w:t>
      </w:r>
      <w:r w:rsidRPr="00F6226A">
        <w:rPr>
          <w:rFonts w:ascii="Tahoma" w:hAnsi="Tahoma" w:cs="Tahoma"/>
          <w:b/>
          <w:color w:val="auto"/>
          <w:sz w:val="20"/>
        </w:rPr>
        <w:tab/>
        <w:t>Rosângela Arndt Gomes Dresch</w:t>
      </w:r>
    </w:p>
    <w:p w14:paraId="739C9F6A" w14:textId="5A72CA67" w:rsidR="00967DBC" w:rsidRPr="00F6226A" w:rsidRDefault="007E6444" w:rsidP="00F8069F">
      <w:pPr>
        <w:pStyle w:val="Body1"/>
        <w:ind w:right="-284"/>
        <w:jc w:val="both"/>
        <w:rPr>
          <w:rFonts w:ascii="Tahoma" w:hAnsi="Tahoma" w:cs="Tahoma"/>
          <w:color w:val="auto"/>
          <w:sz w:val="20"/>
        </w:rPr>
      </w:pPr>
      <w:r w:rsidRPr="00F6226A">
        <w:rPr>
          <w:rFonts w:ascii="Tahoma" w:hAnsi="Tahoma" w:cs="Tahoma"/>
          <w:color w:val="auto"/>
          <w:sz w:val="20"/>
        </w:rPr>
        <w:t>Presidente da Fundação</w:t>
      </w:r>
      <w:r w:rsidRPr="00F6226A">
        <w:rPr>
          <w:rFonts w:ascii="Tahoma" w:hAnsi="Tahoma" w:cs="Tahoma"/>
          <w:color w:val="auto"/>
          <w:sz w:val="20"/>
        </w:rPr>
        <w:tab/>
      </w:r>
      <w:r w:rsidRPr="00F6226A">
        <w:rPr>
          <w:rFonts w:ascii="Tahoma" w:hAnsi="Tahoma" w:cs="Tahoma"/>
          <w:color w:val="auto"/>
          <w:sz w:val="20"/>
        </w:rPr>
        <w:tab/>
      </w:r>
      <w:r w:rsidRPr="00F6226A">
        <w:rPr>
          <w:rFonts w:ascii="Tahoma" w:hAnsi="Tahoma" w:cs="Tahoma"/>
          <w:color w:val="auto"/>
          <w:sz w:val="20"/>
        </w:rPr>
        <w:tab/>
      </w:r>
      <w:r w:rsidRPr="00F6226A">
        <w:rPr>
          <w:rFonts w:ascii="Tahoma" w:hAnsi="Tahoma" w:cs="Tahoma"/>
          <w:color w:val="auto"/>
          <w:sz w:val="20"/>
        </w:rPr>
        <w:tab/>
      </w:r>
      <w:r w:rsidRPr="00F6226A">
        <w:rPr>
          <w:rFonts w:ascii="Tahoma" w:hAnsi="Tahoma" w:cs="Tahoma"/>
          <w:color w:val="auto"/>
          <w:sz w:val="20"/>
        </w:rPr>
        <w:tab/>
      </w:r>
      <w:r w:rsidR="00A43418" w:rsidRPr="00F6226A">
        <w:rPr>
          <w:rFonts w:ascii="Tahoma" w:hAnsi="Tahoma" w:cs="Tahoma"/>
          <w:color w:val="auto"/>
          <w:sz w:val="20"/>
        </w:rPr>
        <w:tab/>
      </w:r>
      <w:r w:rsidRPr="00F6226A">
        <w:rPr>
          <w:rFonts w:ascii="Tahoma" w:hAnsi="Tahoma" w:cs="Tahoma"/>
          <w:color w:val="auto"/>
          <w:sz w:val="20"/>
        </w:rPr>
        <w:t>Secretária da Fundação</w:t>
      </w:r>
      <w:r w:rsidRPr="00F6226A">
        <w:rPr>
          <w:rFonts w:ascii="Tahoma" w:hAnsi="Tahoma" w:cs="Tahoma"/>
          <w:color w:val="auto"/>
          <w:sz w:val="20"/>
        </w:rPr>
        <w:tab/>
      </w:r>
    </w:p>
    <w:p w14:paraId="440A25D5" w14:textId="545A3F22" w:rsidR="00967DBC" w:rsidRPr="00F6226A" w:rsidRDefault="00967DBC" w:rsidP="00F8069F">
      <w:pPr>
        <w:pStyle w:val="Body1"/>
        <w:ind w:right="-284"/>
        <w:jc w:val="both"/>
        <w:rPr>
          <w:rFonts w:ascii="Tahoma" w:hAnsi="Tahoma" w:cs="Tahoma"/>
          <w:color w:val="auto"/>
          <w:sz w:val="20"/>
        </w:rPr>
      </w:pPr>
    </w:p>
    <w:sectPr w:rsidR="00967DBC" w:rsidRPr="00F6226A" w:rsidSect="004B5364">
      <w:headerReference w:type="default" r:id="rId7"/>
      <w:footerReference w:type="default" r:id="rId8"/>
      <w:pgSz w:w="11906" w:h="16838"/>
      <w:pgMar w:top="195" w:right="707" w:bottom="993" w:left="993" w:header="142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85A62" w14:textId="77777777" w:rsidR="000377D7" w:rsidRDefault="000377D7">
      <w:r>
        <w:separator/>
      </w:r>
    </w:p>
  </w:endnote>
  <w:endnote w:type="continuationSeparator" w:id="0">
    <w:p w14:paraId="6B2549C4" w14:textId="77777777" w:rsidR="000377D7" w:rsidRDefault="000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787" w14:textId="77777777" w:rsidR="000022CF" w:rsidRDefault="000022CF">
    <w:pPr>
      <w:pStyle w:val="Rodap"/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16"/>
      </w:rPr>
      <w:t>Rua Sepé Tiaraju, 1.013 – Bairro Santa Tereza – Porto Alegre – RS – CEP 90840-360</w:t>
    </w:r>
  </w:p>
  <w:p w14:paraId="43C61798" w14:textId="77777777" w:rsidR="000022CF" w:rsidRDefault="000022CF">
    <w:pPr>
      <w:pStyle w:val="Rodap"/>
      <w:jc w:val="center"/>
    </w:pPr>
    <w:r>
      <w:rPr>
        <w:sz w:val="16"/>
      </w:rPr>
      <w:t>Telefone: (51) 3235 5000 – www.joaoxxiii.com.br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90433" w14:textId="77777777" w:rsidR="000377D7" w:rsidRDefault="000377D7">
      <w:r>
        <w:separator/>
      </w:r>
    </w:p>
  </w:footnote>
  <w:footnote w:type="continuationSeparator" w:id="0">
    <w:p w14:paraId="011482F8" w14:textId="77777777" w:rsidR="000377D7" w:rsidRDefault="0003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819D" w14:textId="77777777" w:rsidR="000022CF" w:rsidRDefault="000022CF" w:rsidP="00256194">
    <w:pPr>
      <w:pStyle w:val="Cabealho"/>
      <w:tabs>
        <w:tab w:val="left" w:pos="330"/>
        <w:tab w:val="left" w:pos="4510"/>
        <w:tab w:val="right" w:pos="9498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9BE14BE" wp14:editId="07777777">
          <wp:simplePos x="0" y="0"/>
          <wp:positionH relativeFrom="column">
            <wp:posOffset>-28575</wp:posOffset>
          </wp:positionH>
          <wp:positionV relativeFrom="paragraph">
            <wp:posOffset>-72390</wp:posOffset>
          </wp:positionV>
          <wp:extent cx="394970" cy="640715"/>
          <wp:effectExtent l="0" t="0" r="0" b="0"/>
          <wp:wrapNone/>
          <wp:docPr id="1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4E65D52" wp14:editId="07777777">
          <wp:simplePos x="0" y="0"/>
          <wp:positionH relativeFrom="margin">
            <wp:posOffset>581025</wp:posOffset>
          </wp:positionH>
          <wp:positionV relativeFrom="paragraph">
            <wp:posOffset>7620</wp:posOffset>
          </wp:positionV>
          <wp:extent cx="1692910" cy="63817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36" b="-4169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67169" w14:textId="77777777" w:rsidR="000022CF" w:rsidRPr="000274A4" w:rsidRDefault="000022CF" w:rsidP="00256194">
    <w:pPr>
      <w:pStyle w:val="Cabealho"/>
      <w:jc w:val="right"/>
      <w:rPr>
        <w:rFonts w:ascii="Tahoma" w:hAnsi="Tahoma" w:cs="Tahoma"/>
        <w:sz w:val="22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0274A4">
      <w:rPr>
        <w:rFonts w:ascii="Tahoma" w:hAnsi="Tahoma" w:cs="Tahoma"/>
        <w:sz w:val="22"/>
      </w:rPr>
      <w:t>FUNDAÇÃO EDUCACIONAL JOÃO XXIII</w:t>
    </w:r>
  </w:p>
  <w:p w14:paraId="465BDF9C" w14:textId="77777777" w:rsidR="000022CF" w:rsidRDefault="000022CF" w:rsidP="00256194">
    <w:pPr>
      <w:pStyle w:val="Cabealho"/>
      <w:jc w:val="right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Conselho Deliberante</w:t>
    </w:r>
  </w:p>
  <w:p w14:paraId="5A39BBE3" w14:textId="77777777" w:rsidR="000022CF" w:rsidRDefault="000022CF">
    <w:pPr>
      <w:pStyle w:val="Cabealho"/>
      <w:jc w:val="right"/>
      <w:rPr>
        <w:rFonts w:ascii="Tahoma" w:hAnsi="Tahoma" w:cs="Tahoma"/>
        <w:sz w:val="22"/>
      </w:rPr>
    </w:pPr>
  </w:p>
  <w:p w14:paraId="41C8F396" w14:textId="77777777" w:rsidR="000022CF" w:rsidRDefault="000022CF">
    <w:pPr>
      <w:pStyle w:val="Cabealho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1066"/>
        </w:tabs>
        <w:ind w:left="1066" w:hanging="15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66" w:hanging="15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8" w:hanging="360"/>
      </w:pPr>
      <w:rPr>
        <w:rFonts w:cs="Tahoma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73FA3"/>
    <w:multiLevelType w:val="hybridMultilevel"/>
    <w:tmpl w:val="59EAE596"/>
    <w:lvl w:ilvl="0" w:tplc="FA287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76035"/>
    <w:multiLevelType w:val="hybridMultilevel"/>
    <w:tmpl w:val="46187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5F8C"/>
    <w:multiLevelType w:val="hybridMultilevel"/>
    <w:tmpl w:val="C854B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D"/>
    <w:rsid w:val="000022CF"/>
    <w:rsid w:val="00002A80"/>
    <w:rsid w:val="00005926"/>
    <w:rsid w:val="00006455"/>
    <w:rsid w:val="00010594"/>
    <w:rsid w:val="0001325D"/>
    <w:rsid w:val="00016592"/>
    <w:rsid w:val="00017BBA"/>
    <w:rsid w:val="000304C8"/>
    <w:rsid w:val="00031ABA"/>
    <w:rsid w:val="00032D0A"/>
    <w:rsid w:val="000358F6"/>
    <w:rsid w:val="000367C0"/>
    <w:rsid w:val="00036807"/>
    <w:rsid w:val="000377D7"/>
    <w:rsid w:val="00046B88"/>
    <w:rsid w:val="00051FB1"/>
    <w:rsid w:val="0005358E"/>
    <w:rsid w:val="000552C1"/>
    <w:rsid w:val="00055657"/>
    <w:rsid w:val="00055C0A"/>
    <w:rsid w:val="00061161"/>
    <w:rsid w:val="000665BB"/>
    <w:rsid w:val="000748C3"/>
    <w:rsid w:val="00076263"/>
    <w:rsid w:val="00081F0B"/>
    <w:rsid w:val="000852E9"/>
    <w:rsid w:val="00085C40"/>
    <w:rsid w:val="00087F29"/>
    <w:rsid w:val="000A0656"/>
    <w:rsid w:val="000B2062"/>
    <w:rsid w:val="000C03C9"/>
    <w:rsid w:val="000C0756"/>
    <w:rsid w:val="000C0A41"/>
    <w:rsid w:val="000C4697"/>
    <w:rsid w:val="000E4459"/>
    <w:rsid w:val="000F60F9"/>
    <w:rsid w:val="000F7CDA"/>
    <w:rsid w:val="00101D00"/>
    <w:rsid w:val="00107D43"/>
    <w:rsid w:val="0011667C"/>
    <w:rsid w:val="00117BE6"/>
    <w:rsid w:val="00135CDF"/>
    <w:rsid w:val="00144192"/>
    <w:rsid w:val="0015007F"/>
    <w:rsid w:val="00151B23"/>
    <w:rsid w:val="00153D14"/>
    <w:rsid w:val="00154B93"/>
    <w:rsid w:val="00157500"/>
    <w:rsid w:val="00165533"/>
    <w:rsid w:val="0016693C"/>
    <w:rsid w:val="001726BD"/>
    <w:rsid w:val="001739D5"/>
    <w:rsid w:val="0017548F"/>
    <w:rsid w:val="00181DD1"/>
    <w:rsid w:val="001843E3"/>
    <w:rsid w:val="001A1764"/>
    <w:rsid w:val="001A2602"/>
    <w:rsid w:val="001B3AAB"/>
    <w:rsid w:val="001B44F7"/>
    <w:rsid w:val="001C51A8"/>
    <w:rsid w:val="001C68D9"/>
    <w:rsid w:val="001C7828"/>
    <w:rsid w:val="001D2433"/>
    <w:rsid w:val="001D4E66"/>
    <w:rsid w:val="001E1B87"/>
    <w:rsid w:val="001E619F"/>
    <w:rsid w:val="001F3201"/>
    <w:rsid w:val="001F3D02"/>
    <w:rsid w:val="001F7CA4"/>
    <w:rsid w:val="00201E11"/>
    <w:rsid w:val="00207471"/>
    <w:rsid w:val="00211504"/>
    <w:rsid w:val="00213223"/>
    <w:rsid w:val="002250A6"/>
    <w:rsid w:val="0023051D"/>
    <w:rsid w:val="002317F6"/>
    <w:rsid w:val="00233734"/>
    <w:rsid w:val="00247981"/>
    <w:rsid w:val="00247D71"/>
    <w:rsid w:val="00256194"/>
    <w:rsid w:val="00261ADA"/>
    <w:rsid w:val="002668AA"/>
    <w:rsid w:val="002704CB"/>
    <w:rsid w:val="002740B5"/>
    <w:rsid w:val="00275008"/>
    <w:rsid w:val="0028032F"/>
    <w:rsid w:val="00282F44"/>
    <w:rsid w:val="002831C1"/>
    <w:rsid w:val="00290499"/>
    <w:rsid w:val="00295FEE"/>
    <w:rsid w:val="00297D33"/>
    <w:rsid w:val="002C1736"/>
    <w:rsid w:val="002C3727"/>
    <w:rsid w:val="002C65DA"/>
    <w:rsid w:val="002D06D8"/>
    <w:rsid w:val="002D750E"/>
    <w:rsid w:val="002E1D0A"/>
    <w:rsid w:val="002E59FD"/>
    <w:rsid w:val="002F0B8D"/>
    <w:rsid w:val="002F13E4"/>
    <w:rsid w:val="002F5483"/>
    <w:rsid w:val="002F6DE1"/>
    <w:rsid w:val="00300C83"/>
    <w:rsid w:val="00300E1E"/>
    <w:rsid w:val="00314103"/>
    <w:rsid w:val="00315DFD"/>
    <w:rsid w:val="00320221"/>
    <w:rsid w:val="0032189D"/>
    <w:rsid w:val="003346FD"/>
    <w:rsid w:val="00336D3E"/>
    <w:rsid w:val="00337AA0"/>
    <w:rsid w:val="00353D42"/>
    <w:rsid w:val="00365AA1"/>
    <w:rsid w:val="00366A72"/>
    <w:rsid w:val="00381182"/>
    <w:rsid w:val="00382F1A"/>
    <w:rsid w:val="0038779F"/>
    <w:rsid w:val="0039040D"/>
    <w:rsid w:val="00392504"/>
    <w:rsid w:val="003940EB"/>
    <w:rsid w:val="003945CD"/>
    <w:rsid w:val="003B4EDF"/>
    <w:rsid w:val="003B5ED1"/>
    <w:rsid w:val="003C49D3"/>
    <w:rsid w:val="003C67EA"/>
    <w:rsid w:val="003D1721"/>
    <w:rsid w:val="003D190C"/>
    <w:rsid w:val="003D5BD7"/>
    <w:rsid w:val="003E0587"/>
    <w:rsid w:val="003E1528"/>
    <w:rsid w:val="003E3B34"/>
    <w:rsid w:val="003E561D"/>
    <w:rsid w:val="003F48E6"/>
    <w:rsid w:val="00407A57"/>
    <w:rsid w:val="004116DE"/>
    <w:rsid w:val="00411D47"/>
    <w:rsid w:val="00415413"/>
    <w:rsid w:val="004155AF"/>
    <w:rsid w:val="0041734A"/>
    <w:rsid w:val="004234D9"/>
    <w:rsid w:val="00427242"/>
    <w:rsid w:val="00440D7D"/>
    <w:rsid w:val="004454E2"/>
    <w:rsid w:val="00454F91"/>
    <w:rsid w:val="0045595B"/>
    <w:rsid w:val="00462863"/>
    <w:rsid w:val="00470E28"/>
    <w:rsid w:val="00480B28"/>
    <w:rsid w:val="00483571"/>
    <w:rsid w:val="00483572"/>
    <w:rsid w:val="00483E69"/>
    <w:rsid w:val="00486766"/>
    <w:rsid w:val="00486C1F"/>
    <w:rsid w:val="00486DC3"/>
    <w:rsid w:val="00490734"/>
    <w:rsid w:val="004A1400"/>
    <w:rsid w:val="004B081D"/>
    <w:rsid w:val="004B5364"/>
    <w:rsid w:val="004C1438"/>
    <w:rsid w:val="004C2FF8"/>
    <w:rsid w:val="004C355F"/>
    <w:rsid w:val="004C3BB9"/>
    <w:rsid w:val="004C4A45"/>
    <w:rsid w:val="004C5528"/>
    <w:rsid w:val="004D7841"/>
    <w:rsid w:val="004E3A34"/>
    <w:rsid w:val="004E5D37"/>
    <w:rsid w:val="00514915"/>
    <w:rsid w:val="005150C6"/>
    <w:rsid w:val="00526AA9"/>
    <w:rsid w:val="00527F20"/>
    <w:rsid w:val="005319EA"/>
    <w:rsid w:val="00532907"/>
    <w:rsid w:val="00532B3C"/>
    <w:rsid w:val="00532F14"/>
    <w:rsid w:val="00535A7D"/>
    <w:rsid w:val="00536A2B"/>
    <w:rsid w:val="005373A7"/>
    <w:rsid w:val="0054098B"/>
    <w:rsid w:val="00541847"/>
    <w:rsid w:val="00546A12"/>
    <w:rsid w:val="0055395D"/>
    <w:rsid w:val="00553BE9"/>
    <w:rsid w:val="0055765F"/>
    <w:rsid w:val="005712CB"/>
    <w:rsid w:val="00571842"/>
    <w:rsid w:val="005765BC"/>
    <w:rsid w:val="00583123"/>
    <w:rsid w:val="00586FA0"/>
    <w:rsid w:val="005930D5"/>
    <w:rsid w:val="0059645B"/>
    <w:rsid w:val="005A3674"/>
    <w:rsid w:val="005B5136"/>
    <w:rsid w:val="005D0D10"/>
    <w:rsid w:val="005D4F2C"/>
    <w:rsid w:val="005E0195"/>
    <w:rsid w:val="005E52D4"/>
    <w:rsid w:val="005F07DB"/>
    <w:rsid w:val="005F5BFE"/>
    <w:rsid w:val="005F7AA8"/>
    <w:rsid w:val="006039F3"/>
    <w:rsid w:val="006127E5"/>
    <w:rsid w:val="00616CD3"/>
    <w:rsid w:val="00624F24"/>
    <w:rsid w:val="00631867"/>
    <w:rsid w:val="00641032"/>
    <w:rsid w:val="006427F5"/>
    <w:rsid w:val="0064290D"/>
    <w:rsid w:val="006514E3"/>
    <w:rsid w:val="00655DD8"/>
    <w:rsid w:val="006576E8"/>
    <w:rsid w:val="0066106D"/>
    <w:rsid w:val="00662175"/>
    <w:rsid w:val="00662242"/>
    <w:rsid w:val="00682D54"/>
    <w:rsid w:val="006840BC"/>
    <w:rsid w:val="00684668"/>
    <w:rsid w:val="00686757"/>
    <w:rsid w:val="006900FA"/>
    <w:rsid w:val="006A0452"/>
    <w:rsid w:val="006A7FAF"/>
    <w:rsid w:val="006B7D98"/>
    <w:rsid w:val="006C3C19"/>
    <w:rsid w:val="006C7A72"/>
    <w:rsid w:val="006C7AAE"/>
    <w:rsid w:val="006D6708"/>
    <w:rsid w:val="006D73E7"/>
    <w:rsid w:val="006D76F1"/>
    <w:rsid w:val="00701EA6"/>
    <w:rsid w:val="00713E7F"/>
    <w:rsid w:val="00715AC3"/>
    <w:rsid w:val="0072458F"/>
    <w:rsid w:val="00727EB8"/>
    <w:rsid w:val="00730A6A"/>
    <w:rsid w:val="00735F70"/>
    <w:rsid w:val="007372B8"/>
    <w:rsid w:val="0074475A"/>
    <w:rsid w:val="00751646"/>
    <w:rsid w:val="00774B31"/>
    <w:rsid w:val="00783C8C"/>
    <w:rsid w:val="0079649D"/>
    <w:rsid w:val="007A0A08"/>
    <w:rsid w:val="007A30A1"/>
    <w:rsid w:val="007B4806"/>
    <w:rsid w:val="007C6423"/>
    <w:rsid w:val="007D0C30"/>
    <w:rsid w:val="007D234D"/>
    <w:rsid w:val="007D47B8"/>
    <w:rsid w:val="007E437B"/>
    <w:rsid w:val="007E4673"/>
    <w:rsid w:val="007E6444"/>
    <w:rsid w:val="007E6C41"/>
    <w:rsid w:val="007F50B8"/>
    <w:rsid w:val="007F7E9F"/>
    <w:rsid w:val="008122E5"/>
    <w:rsid w:val="00822EA7"/>
    <w:rsid w:val="0083176F"/>
    <w:rsid w:val="00832412"/>
    <w:rsid w:val="00832890"/>
    <w:rsid w:val="00836618"/>
    <w:rsid w:val="008401F2"/>
    <w:rsid w:val="00846101"/>
    <w:rsid w:val="00873959"/>
    <w:rsid w:val="008767EF"/>
    <w:rsid w:val="008802AE"/>
    <w:rsid w:val="00880548"/>
    <w:rsid w:val="0088652B"/>
    <w:rsid w:val="00892ED2"/>
    <w:rsid w:val="008A2BD3"/>
    <w:rsid w:val="008A771A"/>
    <w:rsid w:val="008B20CF"/>
    <w:rsid w:val="008B2D67"/>
    <w:rsid w:val="008B356C"/>
    <w:rsid w:val="008C01E8"/>
    <w:rsid w:val="008C0EB9"/>
    <w:rsid w:val="008D2B7B"/>
    <w:rsid w:val="008D6478"/>
    <w:rsid w:val="00902D16"/>
    <w:rsid w:val="00907AED"/>
    <w:rsid w:val="00912C8A"/>
    <w:rsid w:val="00931B00"/>
    <w:rsid w:val="00934FD9"/>
    <w:rsid w:val="00937BB6"/>
    <w:rsid w:val="00942026"/>
    <w:rsid w:val="00945C87"/>
    <w:rsid w:val="00953CFA"/>
    <w:rsid w:val="0095420E"/>
    <w:rsid w:val="00963152"/>
    <w:rsid w:val="00967DBC"/>
    <w:rsid w:val="00982F10"/>
    <w:rsid w:val="00983338"/>
    <w:rsid w:val="009905D5"/>
    <w:rsid w:val="009911F7"/>
    <w:rsid w:val="009927AF"/>
    <w:rsid w:val="00994441"/>
    <w:rsid w:val="009B1939"/>
    <w:rsid w:val="009E10D8"/>
    <w:rsid w:val="009F6EF0"/>
    <w:rsid w:val="00A04D9C"/>
    <w:rsid w:val="00A3282A"/>
    <w:rsid w:val="00A37D5A"/>
    <w:rsid w:val="00A43418"/>
    <w:rsid w:val="00A47695"/>
    <w:rsid w:val="00A52265"/>
    <w:rsid w:val="00A67AC6"/>
    <w:rsid w:val="00A7028A"/>
    <w:rsid w:val="00A77544"/>
    <w:rsid w:val="00A80076"/>
    <w:rsid w:val="00A8355B"/>
    <w:rsid w:val="00A84EEC"/>
    <w:rsid w:val="00A95DDB"/>
    <w:rsid w:val="00AB0C76"/>
    <w:rsid w:val="00AB676D"/>
    <w:rsid w:val="00AD1F6D"/>
    <w:rsid w:val="00AD6FC1"/>
    <w:rsid w:val="00AD7339"/>
    <w:rsid w:val="00AD74B0"/>
    <w:rsid w:val="00AE1939"/>
    <w:rsid w:val="00B00317"/>
    <w:rsid w:val="00B0205E"/>
    <w:rsid w:val="00B06A23"/>
    <w:rsid w:val="00B1283C"/>
    <w:rsid w:val="00B159D4"/>
    <w:rsid w:val="00B21208"/>
    <w:rsid w:val="00B23209"/>
    <w:rsid w:val="00B27D95"/>
    <w:rsid w:val="00B318B9"/>
    <w:rsid w:val="00B3517D"/>
    <w:rsid w:val="00B3542B"/>
    <w:rsid w:val="00B364E2"/>
    <w:rsid w:val="00B43445"/>
    <w:rsid w:val="00B46ABA"/>
    <w:rsid w:val="00B510AD"/>
    <w:rsid w:val="00B556AF"/>
    <w:rsid w:val="00B607C3"/>
    <w:rsid w:val="00B649D0"/>
    <w:rsid w:val="00B64D33"/>
    <w:rsid w:val="00B65D11"/>
    <w:rsid w:val="00B7062E"/>
    <w:rsid w:val="00B7318C"/>
    <w:rsid w:val="00B73651"/>
    <w:rsid w:val="00B82359"/>
    <w:rsid w:val="00B83400"/>
    <w:rsid w:val="00B84BFB"/>
    <w:rsid w:val="00B91F70"/>
    <w:rsid w:val="00B9667B"/>
    <w:rsid w:val="00BA065D"/>
    <w:rsid w:val="00BB1D8F"/>
    <w:rsid w:val="00BB2216"/>
    <w:rsid w:val="00BC21B5"/>
    <w:rsid w:val="00BC5079"/>
    <w:rsid w:val="00BD48B0"/>
    <w:rsid w:val="00BD7B7D"/>
    <w:rsid w:val="00BE1381"/>
    <w:rsid w:val="00BE1E44"/>
    <w:rsid w:val="00BE695B"/>
    <w:rsid w:val="00BE69AA"/>
    <w:rsid w:val="00BF0DB1"/>
    <w:rsid w:val="00BF3B75"/>
    <w:rsid w:val="00C03C71"/>
    <w:rsid w:val="00C13044"/>
    <w:rsid w:val="00C1316C"/>
    <w:rsid w:val="00C13652"/>
    <w:rsid w:val="00C218E0"/>
    <w:rsid w:val="00C35D96"/>
    <w:rsid w:val="00C44E90"/>
    <w:rsid w:val="00C51D16"/>
    <w:rsid w:val="00C6279A"/>
    <w:rsid w:val="00C66DFF"/>
    <w:rsid w:val="00C7063A"/>
    <w:rsid w:val="00C741EA"/>
    <w:rsid w:val="00C752F1"/>
    <w:rsid w:val="00C7567D"/>
    <w:rsid w:val="00C82E17"/>
    <w:rsid w:val="00C905E1"/>
    <w:rsid w:val="00CA19A3"/>
    <w:rsid w:val="00CB2A02"/>
    <w:rsid w:val="00CD71ED"/>
    <w:rsid w:val="00CE2B7F"/>
    <w:rsid w:val="00CE430D"/>
    <w:rsid w:val="00CE7A06"/>
    <w:rsid w:val="00CF5873"/>
    <w:rsid w:val="00D029D4"/>
    <w:rsid w:val="00D06940"/>
    <w:rsid w:val="00D17BF0"/>
    <w:rsid w:val="00D216A1"/>
    <w:rsid w:val="00D354F5"/>
    <w:rsid w:val="00D438B8"/>
    <w:rsid w:val="00D5060B"/>
    <w:rsid w:val="00D54654"/>
    <w:rsid w:val="00D555DD"/>
    <w:rsid w:val="00D5586B"/>
    <w:rsid w:val="00D57A07"/>
    <w:rsid w:val="00D642D5"/>
    <w:rsid w:val="00D70299"/>
    <w:rsid w:val="00D7337A"/>
    <w:rsid w:val="00D7343B"/>
    <w:rsid w:val="00D8065B"/>
    <w:rsid w:val="00D84F78"/>
    <w:rsid w:val="00D85234"/>
    <w:rsid w:val="00D85235"/>
    <w:rsid w:val="00D933DF"/>
    <w:rsid w:val="00DA1682"/>
    <w:rsid w:val="00DB08C7"/>
    <w:rsid w:val="00DB267C"/>
    <w:rsid w:val="00DC0398"/>
    <w:rsid w:val="00DC28CF"/>
    <w:rsid w:val="00DC2AA8"/>
    <w:rsid w:val="00DD0F59"/>
    <w:rsid w:val="00DD6181"/>
    <w:rsid w:val="00DF1215"/>
    <w:rsid w:val="00DF194A"/>
    <w:rsid w:val="00DF4282"/>
    <w:rsid w:val="00DF479B"/>
    <w:rsid w:val="00E04406"/>
    <w:rsid w:val="00E15E63"/>
    <w:rsid w:val="00E22314"/>
    <w:rsid w:val="00E245BE"/>
    <w:rsid w:val="00E25822"/>
    <w:rsid w:val="00E45D5D"/>
    <w:rsid w:val="00E50A38"/>
    <w:rsid w:val="00E615DB"/>
    <w:rsid w:val="00E6390F"/>
    <w:rsid w:val="00E81F3C"/>
    <w:rsid w:val="00E9538F"/>
    <w:rsid w:val="00EA13DE"/>
    <w:rsid w:val="00EA3230"/>
    <w:rsid w:val="00EB3F56"/>
    <w:rsid w:val="00EB7FFC"/>
    <w:rsid w:val="00EC3345"/>
    <w:rsid w:val="00EC3CE2"/>
    <w:rsid w:val="00EC7BEA"/>
    <w:rsid w:val="00ED18F2"/>
    <w:rsid w:val="00ED3080"/>
    <w:rsid w:val="00EE0397"/>
    <w:rsid w:val="00EE05C5"/>
    <w:rsid w:val="00EE2567"/>
    <w:rsid w:val="00EE4635"/>
    <w:rsid w:val="00EF011F"/>
    <w:rsid w:val="00EF4166"/>
    <w:rsid w:val="00EF4604"/>
    <w:rsid w:val="00EF67EB"/>
    <w:rsid w:val="00F00CED"/>
    <w:rsid w:val="00F029E9"/>
    <w:rsid w:val="00F07EA5"/>
    <w:rsid w:val="00F1795D"/>
    <w:rsid w:val="00F2053D"/>
    <w:rsid w:val="00F21C87"/>
    <w:rsid w:val="00F263CA"/>
    <w:rsid w:val="00F26619"/>
    <w:rsid w:val="00F36514"/>
    <w:rsid w:val="00F4158D"/>
    <w:rsid w:val="00F546AE"/>
    <w:rsid w:val="00F55DFD"/>
    <w:rsid w:val="00F61D63"/>
    <w:rsid w:val="00F6226A"/>
    <w:rsid w:val="00F64B4C"/>
    <w:rsid w:val="00F67572"/>
    <w:rsid w:val="00F72019"/>
    <w:rsid w:val="00F72C65"/>
    <w:rsid w:val="00F753C8"/>
    <w:rsid w:val="00F8069F"/>
    <w:rsid w:val="00F810EE"/>
    <w:rsid w:val="00FA41F5"/>
    <w:rsid w:val="00FC3E47"/>
    <w:rsid w:val="00FD2A58"/>
    <w:rsid w:val="00FD4BBA"/>
    <w:rsid w:val="00FD6613"/>
    <w:rsid w:val="00FD79C5"/>
    <w:rsid w:val="00FE3DA5"/>
    <w:rsid w:val="00FF53A7"/>
    <w:rsid w:val="00FF6857"/>
    <w:rsid w:val="0C1D0643"/>
    <w:rsid w:val="11CC4DE2"/>
    <w:rsid w:val="136B3363"/>
    <w:rsid w:val="231DF434"/>
    <w:rsid w:val="2F8ED8D3"/>
    <w:rsid w:val="4BE586EA"/>
    <w:rsid w:val="66485A29"/>
    <w:rsid w:val="6893A9B1"/>
    <w:rsid w:val="716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C24479"/>
  <w15:chartTrackingRefBased/>
  <w15:docId w15:val="{B2704006-10CC-4F22-BEF2-B14CC72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27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2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1Char">
    <w:name w:val="Título 1 Char"/>
    <w:rPr>
      <w:rFonts w:ascii="Tahoma" w:hAnsi="Tahoma" w:cs="Tahoma"/>
      <w:b/>
      <w:sz w:val="24"/>
    </w:rPr>
  </w:style>
  <w:style w:type="character" w:customStyle="1" w:styleId="apple-converted-space">
    <w:name w:val="apple-converted-space"/>
  </w:style>
  <w:style w:type="character" w:customStyle="1" w:styleId="currenthithighlight">
    <w:name w:val="currenthithighlight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MapadoDocumento1">
    <w:name w:val="Mapa do Documento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Verdana" w:hAnsi="Verdana" w:cs="Verdana"/>
      <w:color w:val="000000"/>
    </w:rPr>
  </w:style>
  <w:style w:type="paragraph" w:styleId="PargrafodaLista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C6279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C6279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6279A"/>
    <w:pPr>
      <w:spacing w:before="240"/>
      <w:ind w:firstLine="709"/>
    </w:pPr>
    <w:rPr>
      <w:rFonts w:ascii="Calibri" w:eastAsia="Calibri" w:hAnsi="Calibri" w:cs="Tahoma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C6279A"/>
    <w:pPr>
      <w:ind w:left="200" w:firstLine="709"/>
    </w:pPr>
    <w:rPr>
      <w:rFonts w:ascii="Calibri" w:eastAsia="Calibri" w:hAnsi="Calibri" w:cs="Tahoma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arke04njx1wc">
    <w:name w:val="marke04njx1wc"/>
    <w:basedOn w:val="Fontepargpadro"/>
    <w:rsid w:val="009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Pauta O Sr</vt:lpstr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Pauta O Sr</dc:title>
  <dc:subject/>
  <dc:creator>alessandra.becker</dc:creator>
  <cp:keywords/>
  <cp:lastModifiedBy>Rosângela Arndt Gomes Dresch</cp:lastModifiedBy>
  <cp:revision>2</cp:revision>
  <cp:lastPrinted>2019-12-04T21:20:00Z</cp:lastPrinted>
  <dcterms:created xsi:type="dcterms:W3CDTF">2020-03-23T21:02:00Z</dcterms:created>
  <dcterms:modified xsi:type="dcterms:W3CDTF">2020-03-23T21:02:00Z</dcterms:modified>
</cp:coreProperties>
</file>